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DEF7" w14:textId="4762BC2B" w:rsidR="00D36053" w:rsidRDefault="00D36053" w:rsidP="00B617F9">
      <w:pPr>
        <w:widowControl/>
        <w:autoSpaceDE/>
        <w:autoSpaceDN/>
        <w:adjustRightInd/>
        <w:spacing w:before="100" w:beforeAutospacing="1" w:after="100" w:afterAutospacing="1" w:line="264" w:lineRule="atLeast"/>
        <w:jc w:val="right"/>
        <w:textAlignment w:val="auto"/>
        <w:outlineLvl w:val="1"/>
        <w:rPr>
          <w:rFonts w:ascii="Verdana" w:eastAsia="Times New Roman" w:hAnsi="Verdana" w:cs="Times New Roman"/>
          <w:color w:val="5E6E76"/>
          <w:sz w:val="32"/>
          <w:szCs w:val="32"/>
          <w:lang w:val="en-US" w:eastAsia="nl-BE"/>
        </w:rPr>
      </w:pPr>
      <w:r>
        <w:rPr>
          <w:noProof/>
          <w:lang w:val="nl-BE" w:eastAsia="nl-BE"/>
        </w:rPr>
        <w:drawing>
          <wp:inline distT="0" distB="0" distL="0" distR="0" wp14:anchorId="5571B82B" wp14:editId="06B3203E">
            <wp:extent cx="1408430" cy="526415"/>
            <wp:effectExtent l="0" t="0" r="127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659A" w14:textId="77777777" w:rsidR="00D36053" w:rsidRPr="00814AF6" w:rsidRDefault="0012581D" w:rsidP="00D36053">
      <w:pPr>
        <w:widowControl/>
        <w:autoSpaceDE/>
        <w:autoSpaceDN/>
        <w:adjustRightInd/>
        <w:spacing w:before="100" w:beforeAutospacing="1" w:after="100" w:afterAutospacing="1" w:line="264" w:lineRule="atLeast"/>
        <w:textAlignment w:val="auto"/>
        <w:outlineLvl w:val="1"/>
        <w:rPr>
          <w:rFonts w:ascii="Verdana" w:eastAsia="Times New Roman" w:hAnsi="Verdana" w:cs="Times New Roman"/>
          <w:color w:val="5E6E76"/>
          <w:sz w:val="28"/>
          <w:szCs w:val="28"/>
          <w:lang w:val="fr-BE" w:eastAsia="nl-BE"/>
        </w:rPr>
      </w:pPr>
      <w:r w:rsidRPr="00814AF6">
        <w:rPr>
          <w:rFonts w:ascii="Verdana" w:eastAsia="Times New Roman" w:hAnsi="Verdana" w:cs="Times New Roman"/>
          <w:color w:val="5E6E76"/>
          <w:sz w:val="28"/>
          <w:szCs w:val="28"/>
          <w:lang w:val="fr-BE" w:eastAsia="nl-BE"/>
        </w:rPr>
        <w:t>Parties participant aux produits balancing d'Elia</w:t>
      </w:r>
    </w:p>
    <w:p w14:paraId="20AE7D72" w14:textId="77777777" w:rsidR="0012581D" w:rsidRPr="0012581D" w:rsidRDefault="0012581D" w:rsidP="0012581D">
      <w:pPr>
        <w:pStyle w:val="NormalWeb"/>
        <w:spacing w:before="0" w:beforeAutospacing="0" w:after="200" w:afterAutospacing="0"/>
        <w:rPr>
          <w:rFonts w:ascii="Verdana" w:hAnsi="Verdana"/>
          <w:color w:val="848484"/>
          <w:sz w:val="18"/>
          <w:szCs w:val="18"/>
          <w:lang w:val="fr-BE"/>
        </w:rPr>
      </w:pP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Pour certains des produits d'Elia (FCR, </w:t>
      </w:r>
      <w:r w:rsidR="00F57BB2">
        <w:rPr>
          <w:rFonts w:ascii="Verdana" w:hAnsi="Verdana"/>
          <w:color w:val="848484"/>
          <w:sz w:val="18"/>
          <w:szCs w:val="18"/>
          <w:lang w:val="fr-BE"/>
        </w:rPr>
        <w:t xml:space="preserve">aFRR et </w:t>
      </w:r>
      <w:r w:rsidR="008E2546">
        <w:rPr>
          <w:rFonts w:ascii="Verdana" w:hAnsi="Verdana"/>
          <w:color w:val="848484"/>
          <w:sz w:val="18"/>
          <w:szCs w:val="18"/>
          <w:lang w:val="fr-BE"/>
        </w:rPr>
        <w:t>mFRR</w:t>
      </w: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), une entité qui souhaite offrir sa flexibilité à Elia peut choisir de faire cela elle-même ou en partenariat avec une entité pouvant </w:t>
      </w:r>
      <w:r w:rsidR="008E2546" w:rsidRPr="0012581D">
        <w:rPr>
          <w:rFonts w:ascii="Verdana" w:hAnsi="Verdana"/>
          <w:color w:val="848484"/>
          <w:sz w:val="18"/>
          <w:szCs w:val="18"/>
          <w:lang w:val="fr-BE"/>
        </w:rPr>
        <w:t>agréger</w:t>
      </w: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 plusieurs assets afin d'offrir le service à Elia.</w:t>
      </w:r>
    </w:p>
    <w:p w14:paraId="0797B2D2" w14:textId="77777777" w:rsidR="0098385D" w:rsidRDefault="0012581D" w:rsidP="0098385D">
      <w:pPr>
        <w:pStyle w:val="NormalWeb"/>
        <w:rPr>
          <w:rFonts w:ascii="Verdana" w:hAnsi="Verdana"/>
          <w:color w:val="848484"/>
          <w:sz w:val="18"/>
          <w:szCs w:val="18"/>
          <w:lang w:val="fr-BE"/>
        </w:rPr>
      </w:pP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Les entités suivantes (Balancing Service Providers ou BSP’s) ont signé un </w:t>
      </w:r>
      <w:r w:rsidR="008E2546">
        <w:rPr>
          <w:rFonts w:ascii="Verdana" w:hAnsi="Verdana"/>
          <w:color w:val="848484"/>
          <w:sz w:val="18"/>
          <w:szCs w:val="18"/>
          <w:lang w:val="fr-BE"/>
        </w:rPr>
        <w:t>contrat</w:t>
      </w:r>
      <w:r w:rsidRPr="0012581D">
        <w:rPr>
          <w:rFonts w:ascii="Verdana" w:hAnsi="Verdana"/>
          <w:color w:val="848484"/>
          <w:sz w:val="18"/>
          <w:szCs w:val="18"/>
          <w:lang w:val="fr-BE"/>
        </w:rPr>
        <w:t xml:space="preserve"> avec Elia pour les produits suivants: 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34"/>
      </w:tblGrid>
      <w:tr w:rsidR="00814AF6" w:rsidRPr="00715984" w14:paraId="1A0929BB" w14:textId="77777777" w:rsidTr="00DB1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EEDC5F0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hAnsi="Verdana"/>
                <w:color w:val="848484"/>
                <w:szCs w:val="20"/>
                <w:lang w:val="en-US"/>
              </w:rPr>
              <w:t> </w:t>
            </w: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Balance Service Provider (BSP)</w:t>
            </w:r>
          </w:p>
        </w:tc>
        <w:tc>
          <w:tcPr>
            <w:tcW w:w="1134" w:type="dxa"/>
            <w:vAlign w:val="center"/>
          </w:tcPr>
          <w:p w14:paraId="32CF7A7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FCR</w:t>
            </w:r>
          </w:p>
        </w:tc>
        <w:tc>
          <w:tcPr>
            <w:tcW w:w="1134" w:type="dxa"/>
            <w:vAlign w:val="center"/>
          </w:tcPr>
          <w:p w14:paraId="5C998E21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aFRR</w:t>
            </w:r>
          </w:p>
        </w:tc>
        <w:tc>
          <w:tcPr>
            <w:tcW w:w="1134" w:type="dxa"/>
            <w:vAlign w:val="center"/>
          </w:tcPr>
          <w:p w14:paraId="09EE679A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mFRR</w:t>
            </w:r>
          </w:p>
        </w:tc>
      </w:tr>
      <w:tr w:rsidR="00814AF6" w:rsidRPr="00715984" w14:paraId="0A3F0BBC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C92B9E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hAnsi="Verdana"/>
                <w:color w:val="848484"/>
                <w:szCs w:val="20"/>
                <w:lang w:val="en-US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Aspiravi Energy</w:t>
            </w:r>
          </w:p>
        </w:tc>
        <w:tc>
          <w:tcPr>
            <w:tcW w:w="1134" w:type="dxa"/>
            <w:vAlign w:val="center"/>
          </w:tcPr>
          <w:p w14:paraId="53F2E45A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282F404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37C135F0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</w:tr>
      <w:tr w:rsidR="00814AF6" w:rsidRPr="00715984" w14:paraId="7130D557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2FB1F31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Axpo Solutions AG</w:t>
            </w:r>
          </w:p>
        </w:tc>
        <w:tc>
          <w:tcPr>
            <w:tcW w:w="1134" w:type="dxa"/>
            <w:vAlign w:val="center"/>
          </w:tcPr>
          <w:p w14:paraId="58C7208E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6A38BCB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1DAC2C6B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387FDA49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9756DF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Bnewable NV</w:t>
            </w:r>
          </w:p>
        </w:tc>
        <w:tc>
          <w:tcPr>
            <w:tcW w:w="1134" w:type="dxa"/>
            <w:vAlign w:val="center"/>
          </w:tcPr>
          <w:p w14:paraId="2908138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35E17BC1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26557BE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</w:tr>
      <w:tr w:rsidR="00814AF6" w:rsidRPr="00715984" w14:paraId="427F8270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BE5FC4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 xml:space="preserve">Centrica Business Solutions Belgium NV </w:t>
            </w:r>
          </w:p>
        </w:tc>
        <w:tc>
          <w:tcPr>
            <w:tcW w:w="1134" w:type="dxa"/>
            <w:vAlign w:val="center"/>
          </w:tcPr>
          <w:p w14:paraId="610C473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2F15333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5B5AB931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5059611F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0BBE345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Companion Energy NV</w:t>
            </w:r>
          </w:p>
        </w:tc>
        <w:tc>
          <w:tcPr>
            <w:tcW w:w="1134" w:type="dxa"/>
            <w:vAlign w:val="center"/>
          </w:tcPr>
          <w:p w14:paraId="330AAD1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3B9E980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4E3B347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0E21CD20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FEFC791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Eclipse SAS</w:t>
            </w:r>
          </w:p>
        </w:tc>
        <w:tc>
          <w:tcPr>
            <w:tcW w:w="1134" w:type="dxa"/>
            <w:vAlign w:val="center"/>
          </w:tcPr>
          <w:p w14:paraId="7CC7CF5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1869B890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2ADA274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2501526B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1C7018B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Electrabel NV</w:t>
            </w:r>
          </w:p>
        </w:tc>
        <w:tc>
          <w:tcPr>
            <w:tcW w:w="1134" w:type="dxa"/>
            <w:vAlign w:val="center"/>
          </w:tcPr>
          <w:p w14:paraId="0A92FED3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4446A983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65E1DDA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1C674D04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EC3AB4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Eneco Energy Trade BV</w:t>
            </w:r>
          </w:p>
        </w:tc>
        <w:tc>
          <w:tcPr>
            <w:tcW w:w="1134" w:type="dxa"/>
            <w:vAlign w:val="center"/>
          </w:tcPr>
          <w:p w14:paraId="738EF63E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4E89A9D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1245D775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4963ECB1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2025E0E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Energy Pool Développement SAS</w:t>
            </w:r>
          </w:p>
        </w:tc>
        <w:tc>
          <w:tcPr>
            <w:tcW w:w="1134" w:type="dxa"/>
            <w:vAlign w:val="center"/>
          </w:tcPr>
          <w:p w14:paraId="6FDF237D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5E615B8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58016A9D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4A05BB46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97C0C1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Enova Grid Management BV</w:t>
            </w:r>
          </w:p>
        </w:tc>
        <w:tc>
          <w:tcPr>
            <w:tcW w:w="1134" w:type="dxa"/>
            <w:vAlign w:val="center"/>
          </w:tcPr>
          <w:p w14:paraId="46E93E6D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7D0CB48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6B76DCE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42A9E1B3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8EE442B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Flexcity Belgium NV</w:t>
            </w:r>
          </w:p>
        </w:tc>
        <w:tc>
          <w:tcPr>
            <w:tcW w:w="1134" w:type="dxa"/>
            <w:vAlign w:val="center"/>
          </w:tcPr>
          <w:p w14:paraId="47BA1A5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4992151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0440BD46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3DDC3F0E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A445D82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Lifepowr NV</w:t>
            </w:r>
          </w:p>
        </w:tc>
        <w:tc>
          <w:tcPr>
            <w:tcW w:w="1134" w:type="dxa"/>
            <w:vAlign w:val="center"/>
          </w:tcPr>
          <w:p w14:paraId="7BC3F0A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26F4523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06030B7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</w:tr>
      <w:tr w:rsidR="00814AF6" w:rsidRPr="00715984" w14:paraId="14C10BA2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56BDFF7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Luminus SA</w:t>
            </w:r>
          </w:p>
        </w:tc>
        <w:tc>
          <w:tcPr>
            <w:tcW w:w="1134" w:type="dxa"/>
            <w:vAlign w:val="center"/>
          </w:tcPr>
          <w:p w14:paraId="567BE570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6A1DEA4D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18B28C67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47CC48D8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CE812E1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Cs w:val="20"/>
                <w:lang w:val="en-US" w:eastAsia="nl-BE"/>
              </w:rPr>
              <w:t>MobilityPlus BV</w:t>
            </w:r>
          </w:p>
        </w:tc>
        <w:tc>
          <w:tcPr>
            <w:tcW w:w="1134" w:type="dxa"/>
            <w:vAlign w:val="center"/>
          </w:tcPr>
          <w:p w14:paraId="7E291115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0881608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66618F8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</w:tr>
      <w:tr w:rsidR="00814AF6" w:rsidRPr="00715984" w14:paraId="1E6C496A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3136AA7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Nala Renewables Belgium BV</w:t>
            </w:r>
          </w:p>
        </w:tc>
        <w:tc>
          <w:tcPr>
            <w:tcW w:w="1134" w:type="dxa"/>
            <w:vAlign w:val="center"/>
          </w:tcPr>
          <w:p w14:paraId="1AEF3687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660B92D0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650C2820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</w:tr>
      <w:tr w:rsidR="00814AF6" w:rsidRPr="00715984" w14:paraId="13C70348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B492FAA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Next Kraftwerke GmbH</w:t>
            </w:r>
          </w:p>
        </w:tc>
        <w:tc>
          <w:tcPr>
            <w:tcW w:w="1134" w:type="dxa"/>
            <w:vAlign w:val="center"/>
          </w:tcPr>
          <w:p w14:paraId="01B66387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4D14F28E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37AA1A7D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0644D138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4D59AC6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Oaktree Power Europe SA</w:t>
            </w:r>
          </w:p>
        </w:tc>
        <w:tc>
          <w:tcPr>
            <w:tcW w:w="1134" w:type="dxa"/>
            <w:vAlign w:val="center"/>
          </w:tcPr>
          <w:p w14:paraId="219F91E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01ADC51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026F6365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1EE3A623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91B0C4F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Pips Energy NV</w:t>
            </w:r>
          </w:p>
        </w:tc>
        <w:tc>
          <w:tcPr>
            <w:tcW w:w="1134" w:type="dxa"/>
            <w:vAlign w:val="center"/>
          </w:tcPr>
          <w:p w14:paraId="3DB4030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3DE55636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222920FF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</w:tr>
      <w:tr w:rsidR="00814AF6" w:rsidRPr="00715984" w14:paraId="118BDCDD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E695BD7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RWE Supply &amp; Trading GmbH</w:t>
            </w:r>
          </w:p>
        </w:tc>
        <w:tc>
          <w:tcPr>
            <w:tcW w:w="1134" w:type="dxa"/>
            <w:vAlign w:val="center"/>
          </w:tcPr>
          <w:p w14:paraId="4AF519C0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37E9C201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1DC45F61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054F5FFA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DA4CED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Second Foundation Trading AG.</w:t>
            </w:r>
          </w:p>
        </w:tc>
        <w:tc>
          <w:tcPr>
            <w:tcW w:w="1134" w:type="dxa"/>
            <w:vAlign w:val="center"/>
          </w:tcPr>
          <w:p w14:paraId="76A01606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7679D10C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3A55B6B7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3018E459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121B6F6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Smart@energy BV</w:t>
            </w:r>
          </w:p>
        </w:tc>
        <w:tc>
          <w:tcPr>
            <w:tcW w:w="1134" w:type="dxa"/>
            <w:vAlign w:val="center"/>
          </w:tcPr>
          <w:p w14:paraId="1574DD9A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3F661571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4A51683E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</w:tr>
      <w:tr w:rsidR="00814AF6" w:rsidRPr="00715984" w14:paraId="337B1C1D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5FCEB4B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TotalEnergies Gas &amp; Power</w:t>
            </w:r>
          </w:p>
        </w:tc>
        <w:tc>
          <w:tcPr>
            <w:tcW w:w="1134" w:type="dxa"/>
            <w:vAlign w:val="center"/>
          </w:tcPr>
          <w:p w14:paraId="12DB889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0B13FBB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18ACAD25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2EFA5066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4F25CCE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TotalEnergies Power &amp; Gas Belgium SA</w:t>
            </w:r>
          </w:p>
        </w:tc>
        <w:tc>
          <w:tcPr>
            <w:tcW w:w="1134" w:type="dxa"/>
            <w:vAlign w:val="center"/>
          </w:tcPr>
          <w:p w14:paraId="30DEFD44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75A6D68B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1C817F38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5DFDF1F0" w14:textId="77777777" w:rsidTr="00DB1D0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3EB36B7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Trafigura Denmark ApS</w:t>
            </w:r>
          </w:p>
        </w:tc>
        <w:tc>
          <w:tcPr>
            <w:tcW w:w="1134" w:type="dxa"/>
            <w:vAlign w:val="center"/>
          </w:tcPr>
          <w:p w14:paraId="019EE646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  <w:tc>
          <w:tcPr>
            <w:tcW w:w="1134" w:type="dxa"/>
            <w:vAlign w:val="center"/>
          </w:tcPr>
          <w:p w14:paraId="47F4AC19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107B1C6B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</w:tr>
      <w:tr w:rsidR="00814AF6" w:rsidRPr="00715984" w14:paraId="7EF34950" w14:textId="77777777" w:rsidTr="00DB1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2375F73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YUSO BV</w:t>
            </w:r>
          </w:p>
        </w:tc>
        <w:tc>
          <w:tcPr>
            <w:tcW w:w="1134" w:type="dxa"/>
            <w:vAlign w:val="center"/>
          </w:tcPr>
          <w:p w14:paraId="5155A1C2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5D2B675E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  <w:r w:rsidRPr="00715984">
              <w:rPr>
                <w:rFonts w:ascii="Verdana" w:eastAsia="Times New Roman" w:hAnsi="Verdana" w:cs="Times New Roman"/>
                <w:szCs w:val="20"/>
                <w:lang w:val="en-US" w:eastAsia="nl-BE"/>
              </w:rPr>
              <w:t>X</w:t>
            </w:r>
          </w:p>
        </w:tc>
        <w:tc>
          <w:tcPr>
            <w:tcW w:w="1134" w:type="dxa"/>
            <w:vAlign w:val="center"/>
          </w:tcPr>
          <w:p w14:paraId="65295D75" w14:textId="77777777" w:rsidR="00814AF6" w:rsidRPr="00715984" w:rsidRDefault="00814AF6" w:rsidP="00DB1D01">
            <w:pPr>
              <w:widowControl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Cs w:val="20"/>
                <w:lang w:val="en-US" w:eastAsia="nl-BE"/>
              </w:rPr>
            </w:pPr>
          </w:p>
        </w:tc>
      </w:tr>
    </w:tbl>
    <w:p w14:paraId="666F0161" w14:textId="77777777" w:rsidR="00814AF6" w:rsidRDefault="00814AF6" w:rsidP="00814AF6">
      <w:pPr>
        <w:widowControl/>
        <w:autoSpaceDE/>
        <w:autoSpaceDN/>
        <w:adjustRightInd/>
        <w:spacing w:after="0" w:line="240" w:lineRule="auto"/>
        <w:textAlignment w:val="auto"/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</w:pPr>
    </w:p>
    <w:p w14:paraId="5EC1F29A" w14:textId="5940C9A8" w:rsidR="00AF243B" w:rsidRDefault="00AF243B" w:rsidP="00D36053">
      <w:pPr>
        <w:widowControl/>
        <w:autoSpaceDE/>
        <w:autoSpaceDN/>
        <w:adjustRightInd/>
        <w:spacing w:after="200" w:line="240" w:lineRule="auto"/>
        <w:textAlignment w:val="auto"/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</w:pPr>
      <w:r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Dernière mise à </w:t>
      </w:r>
      <w:r w:rsidR="00C719B9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jour :</w:t>
      </w:r>
      <w:r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 xml:space="preserve"> </w:t>
      </w:r>
      <w:r w:rsidR="00814AF6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1</w:t>
      </w:r>
      <w:r w:rsidR="0098385D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 xml:space="preserve"> </w:t>
      </w:r>
      <w:r w:rsidR="00814AF6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décembre</w:t>
      </w:r>
      <w:r w:rsidR="0098385D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 xml:space="preserve"> </w:t>
      </w:r>
      <w:r w:rsidR="00AD5C98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202</w:t>
      </w:r>
      <w:r w:rsidR="00BD2950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5</w:t>
      </w:r>
    </w:p>
    <w:p w14:paraId="2B1B6801" w14:textId="09DF71FE" w:rsidR="00386991" w:rsidRPr="0012581D" w:rsidRDefault="0012581D" w:rsidP="0098385D">
      <w:pPr>
        <w:widowControl/>
        <w:autoSpaceDE/>
        <w:autoSpaceDN/>
        <w:adjustRightInd/>
        <w:spacing w:after="200" w:line="240" w:lineRule="auto"/>
        <w:textAlignment w:val="auto"/>
        <w:rPr>
          <w:lang w:val="fr-BE"/>
        </w:rPr>
      </w:pPr>
      <w:r w:rsidRPr="0012581D">
        <w:rPr>
          <w:rFonts w:ascii="Verdana" w:hAnsi="Verdana"/>
          <w:color w:val="848484"/>
          <w:sz w:val="18"/>
          <w:szCs w:val="18"/>
          <w:lang w:val="fr-BE"/>
        </w:rPr>
        <w:br/>
      </w:r>
      <w:r w:rsidRPr="0012581D">
        <w:rPr>
          <w:rFonts w:ascii="Verdana" w:hAnsi="Verdana"/>
          <w:color w:val="848484"/>
          <w:sz w:val="18"/>
          <w:szCs w:val="18"/>
          <w:shd w:val="clear" w:color="auto" w:fill="FFFFFF"/>
          <w:lang w:val="fr-BE"/>
        </w:rPr>
        <w:t>Disclaimer: cette liste n'est pas exhaustive; la publication de la participation d'une entité aux services d'Elia est optionnelle.</w:t>
      </w:r>
      <w:r w:rsidR="00D36053" w:rsidRPr="00D36053">
        <w:rPr>
          <w:rFonts w:ascii="Verdana" w:eastAsia="Times New Roman" w:hAnsi="Verdana" w:cs="Times New Roman"/>
          <w:color w:val="848484"/>
          <w:sz w:val="18"/>
          <w:szCs w:val="18"/>
          <w:lang w:val="fr-BE" w:eastAsia="nl-BE"/>
        </w:rPr>
        <w:t> </w:t>
      </w:r>
    </w:p>
    <w:sectPr w:rsidR="00386991" w:rsidRPr="00125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53"/>
    <w:rsid w:val="00031F13"/>
    <w:rsid w:val="000B0284"/>
    <w:rsid w:val="0012581D"/>
    <w:rsid w:val="001D102F"/>
    <w:rsid w:val="00386991"/>
    <w:rsid w:val="003B2B94"/>
    <w:rsid w:val="0049617A"/>
    <w:rsid w:val="007354CE"/>
    <w:rsid w:val="00814AF6"/>
    <w:rsid w:val="008615AA"/>
    <w:rsid w:val="008E2546"/>
    <w:rsid w:val="0098385D"/>
    <w:rsid w:val="00AD5C98"/>
    <w:rsid w:val="00AF243B"/>
    <w:rsid w:val="00B617F9"/>
    <w:rsid w:val="00B84F1F"/>
    <w:rsid w:val="00BD2950"/>
    <w:rsid w:val="00C719B9"/>
    <w:rsid w:val="00D36053"/>
    <w:rsid w:val="00DB2BA1"/>
    <w:rsid w:val="00EF51EF"/>
    <w:rsid w:val="00F5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B93A"/>
  <w15:chartTrackingRefBased/>
  <w15:docId w15:val="{B34868E6-886C-4E44-883B-A9E518C0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F13"/>
    <w:pPr>
      <w:widowControl w:val="0"/>
      <w:autoSpaceDE w:val="0"/>
      <w:autoSpaceDN w:val="0"/>
      <w:adjustRightInd w:val="0"/>
      <w:spacing w:after="120" w:line="276" w:lineRule="auto"/>
      <w:textAlignment w:val="center"/>
    </w:pPr>
    <w:rPr>
      <w:rFonts w:ascii="Arial" w:eastAsiaTheme="minorEastAsia" w:hAnsi="Arial" w:cs="Arial"/>
      <w:color w:val="000000" w:themeColor="text1"/>
      <w:sz w:val="20"/>
      <w:lang w:val="nl-NL" w:eastAsia="nl-NL"/>
    </w:rPr>
  </w:style>
  <w:style w:type="paragraph" w:styleId="Heading2">
    <w:name w:val="heading 2"/>
    <w:basedOn w:val="Normal"/>
    <w:link w:val="Heading2Char"/>
    <w:uiPriority w:val="9"/>
    <w:qFormat/>
    <w:rsid w:val="00D36053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6053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NormalWeb">
    <w:name w:val="Normal (Web)"/>
    <w:basedOn w:val="Normal"/>
    <w:uiPriority w:val="99"/>
    <w:unhideWhenUsed/>
    <w:rsid w:val="00D36053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nl-BE" w:eastAsia="nl-BE"/>
    </w:rPr>
  </w:style>
  <w:style w:type="table" w:styleId="TableGrid">
    <w:name w:val="Table Grid"/>
    <w:basedOn w:val="TableNormal"/>
    <w:uiPriority w:val="39"/>
    <w:rsid w:val="00D3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2">
    <w:name w:val="Grid Table 4 Accent 2"/>
    <w:basedOn w:val="TableNormal"/>
    <w:uiPriority w:val="49"/>
    <w:rsid w:val="00D360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Elia Group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Aparicio Manuel</dc:creator>
  <cp:keywords/>
  <dc:description/>
  <cp:lastModifiedBy> </cp:lastModifiedBy>
  <cp:revision>5</cp:revision>
  <dcterms:created xsi:type="dcterms:W3CDTF">2025-04-24T06:56:00Z</dcterms:created>
  <dcterms:modified xsi:type="dcterms:W3CDTF">2025-12-04T09:45:00Z</dcterms:modified>
</cp:coreProperties>
</file>